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w:t>
      </w:r>
      <w:r w:rsidR="00F413A2" w:rsidRPr="007370EC">
        <w:rPr>
          <w:color w:val="2F5496" w:themeColor="accent1" w:themeShade="BF"/>
        </w:rPr>
        <w:lastRenderedPageBreak/>
        <w:t>como la reorganización de la estructura interna mediante la unificación de las actividades análogas.</w:t>
      </w:r>
      <w:r w:rsidR="00811FDB" w:rsidRPr="007370EC">
        <w:rPr>
          <w:color w:val="2F5496" w:themeColor="accent1" w:themeShade="BF"/>
        </w:rPr>
        <w:t xml:space="preserve"> Además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P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474D51">
        <w:rPr>
          <w:color w:val="2F5496" w:themeColor="accent1" w:themeShade="BF"/>
        </w:rPr>
        <w:t>séptima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p w:rsidR="007370EC" w:rsidRDefault="007370EC" w:rsidP="00E0751D">
      <w:pPr>
        <w:spacing w:after="0" w:line="240" w:lineRule="auto"/>
      </w:pPr>
    </w:p>
    <w:tbl>
      <w:tblPr>
        <w:tblW w:w="5180" w:type="dxa"/>
        <w:tblInd w:w="70" w:type="dxa"/>
        <w:tblCellMar>
          <w:left w:w="70" w:type="dxa"/>
          <w:right w:w="70" w:type="dxa"/>
        </w:tblCellMar>
        <w:tblLook w:val="04A0" w:firstRow="1" w:lastRow="0" w:firstColumn="1" w:lastColumn="0" w:noHBand="0" w:noVBand="1"/>
      </w:tblPr>
      <w:tblGrid>
        <w:gridCol w:w="5180"/>
      </w:tblGrid>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1100118  Recursos fiscales</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1100119  Recursos fiscales</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1500518  Participaciones federales</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1500519  Participaciones federales</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1600418  Convenios estatales</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1600419  Convenios estatales</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1700919  CONV BENEFICIARIOS</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2510108  FAISM 2008</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2510118  FISM DTDF</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2510119  FISM DTDF 2019</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2510218  FORTAMUN DTDF</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2510219  FORTAMUN DTDF 2019</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2510318  FISE</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2510319  FISE 2019</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2510419  Aportaciones federal</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2520318  Convenios federales</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2520319  Convenios federales</w:t>
            </w:r>
          </w:p>
        </w:tc>
      </w:tr>
    </w:tbl>
    <w:p w:rsidR="00AF5CAD" w:rsidRDefault="00AF5CAD" w:rsidP="00E0751D">
      <w:pPr>
        <w:spacing w:after="0" w:line="240" w:lineRule="auto"/>
      </w:pPr>
    </w:p>
    <w:p w:rsidR="0030764C" w:rsidRDefault="0030764C" w:rsidP="00E0751D">
      <w:pPr>
        <w:spacing w:after="0" w:line="240" w:lineRule="auto"/>
        <w:rPr>
          <w:b/>
        </w:rPr>
      </w:pPr>
    </w:p>
    <w:p w:rsidR="0030764C" w:rsidRDefault="0030764C" w:rsidP="00E0751D">
      <w:pPr>
        <w:spacing w:after="0" w:line="240" w:lineRule="auto"/>
        <w:rPr>
          <w:b/>
        </w:rPr>
      </w:pPr>
    </w:p>
    <w:p w:rsidR="0030764C" w:rsidRDefault="0030764C" w:rsidP="00E0751D">
      <w:pPr>
        <w:spacing w:after="0" w:line="240" w:lineRule="auto"/>
        <w:rPr>
          <w:b/>
        </w:rPr>
      </w:pPr>
    </w:p>
    <w:p w:rsidR="0030764C" w:rsidRDefault="0030764C" w:rsidP="00E0751D">
      <w:pPr>
        <w:spacing w:after="0" w:line="240" w:lineRule="auto"/>
        <w:rPr>
          <w:b/>
        </w:rPr>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 xml:space="preserve">Se informará </w:t>
      </w:r>
      <w:r w:rsidR="00477C8F">
        <w:t>al 31</w:t>
      </w:r>
      <w:r w:rsidR="00E0751D">
        <w:t xml:space="preserve"> de </w:t>
      </w:r>
      <w:r w:rsidR="00477C8F">
        <w:t>Diciembre</w:t>
      </w:r>
      <w:r>
        <w:t xml:space="preserve"> 2019</w:t>
      </w:r>
    </w:p>
    <w:p w:rsidR="00FE043E" w:rsidRDefault="00FE043E" w:rsidP="00E0751D">
      <w:pPr>
        <w:spacing w:after="0" w:line="240" w:lineRule="auto"/>
      </w:pPr>
    </w:p>
    <w:p w:rsidR="00BE3C27" w:rsidRDefault="00BE3C27" w:rsidP="00E0751D">
      <w:pPr>
        <w:spacing w:after="0" w:line="240" w:lineRule="auto"/>
      </w:pPr>
    </w:p>
    <w:p w:rsidR="00AF5CAD" w:rsidRDefault="00AF5CAD" w:rsidP="00AF5CAD">
      <w:pPr>
        <w:spacing w:after="0" w:line="240" w:lineRule="auto"/>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857625" cy="224036"/>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031867" cy="234155"/>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848100" cy="49652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917414" cy="50547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483349" w:rsidRPr="00756E01" w:rsidRDefault="00483349" w:rsidP="002B0FE0">
      <w:pPr>
        <w:spacing w:after="0" w:line="240" w:lineRule="auto"/>
        <w:jc w:val="both"/>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483349" w:rsidRDefault="00483349" w:rsidP="00E0751D">
      <w:pPr>
        <w:spacing w:after="0" w:line="240" w:lineRule="auto"/>
        <w:rPr>
          <w:color w:val="2F5496" w:themeColor="accent1" w:themeShade="BF"/>
        </w:rPr>
      </w:pPr>
    </w:p>
    <w:p w:rsidR="002B0FE0" w:rsidRDefault="002B0FE0" w:rsidP="00E0751D">
      <w:pPr>
        <w:spacing w:after="0" w:line="240" w:lineRule="auto"/>
        <w:rPr>
          <w:color w:val="2F5496" w:themeColor="accent1" w:themeShade="BF"/>
        </w:rPr>
      </w:pPr>
    </w:p>
    <w:tbl>
      <w:tblPr>
        <w:tblW w:w="7500" w:type="dxa"/>
        <w:tblInd w:w="70" w:type="dxa"/>
        <w:tblCellMar>
          <w:left w:w="70" w:type="dxa"/>
          <w:right w:w="70" w:type="dxa"/>
        </w:tblCellMar>
        <w:tblLook w:val="04A0" w:firstRow="1" w:lastRow="0" w:firstColumn="1" w:lastColumn="0" w:noHBand="0" w:noVBand="1"/>
      </w:tblPr>
      <w:tblGrid>
        <w:gridCol w:w="5800"/>
        <w:gridCol w:w="1700"/>
      </w:tblGrid>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b/>
                <w:bCs/>
                <w:sz w:val="16"/>
                <w:szCs w:val="16"/>
                <w:lang w:eastAsia="es-MX"/>
              </w:rPr>
            </w:pPr>
            <w:r w:rsidRPr="00477C8F">
              <w:rPr>
                <w:rFonts w:ascii="Arial" w:eastAsia="Times New Roman" w:hAnsi="Arial" w:cs="Arial"/>
                <w:b/>
                <w:bCs/>
                <w:sz w:val="16"/>
                <w:szCs w:val="16"/>
                <w:lang w:eastAsia="es-MX"/>
              </w:rPr>
              <w:t>Pasivo Circulante</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b/>
                <w:bCs/>
                <w:sz w:val="16"/>
                <w:szCs w:val="16"/>
                <w:lang w:eastAsia="es-MX"/>
              </w:rPr>
            </w:pPr>
          </w:p>
        </w:tc>
      </w:tr>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Cuentas por Pagar a Corto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16,007,624.81</w:t>
            </w:r>
          </w:p>
        </w:tc>
      </w:tr>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Documentos por Pagar a Corto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0.00</w:t>
            </w:r>
          </w:p>
        </w:tc>
      </w:tr>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Porción a Corto Plazo de la Deuda Pública a Largo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0.00</w:t>
            </w:r>
          </w:p>
        </w:tc>
      </w:tr>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Títulos y Valores a Corto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0.00</w:t>
            </w:r>
          </w:p>
        </w:tc>
      </w:tr>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Pasivos Diferidos a Corto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0.00</w:t>
            </w:r>
          </w:p>
        </w:tc>
      </w:tr>
      <w:tr w:rsidR="00477C8F" w:rsidRPr="00477C8F" w:rsidTr="00477C8F">
        <w:trPr>
          <w:trHeight w:val="270"/>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Fondos y Bienes de Terceros en Garantía y/o Administración a Corto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0.00</w:t>
            </w:r>
          </w:p>
        </w:tc>
      </w:tr>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Provisiones a Corto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0.00</w:t>
            </w:r>
          </w:p>
        </w:tc>
      </w:tr>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Otros Pasivos a Corto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0.00</w:t>
            </w:r>
          </w:p>
        </w:tc>
      </w:tr>
    </w:tbl>
    <w:p w:rsidR="009D09C4" w:rsidRDefault="009D09C4" w:rsidP="00E0751D">
      <w:pPr>
        <w:spacing w:after="0" w:line="240" w:lineRule="auto"/>
        <w:rPr>
          <w:color w:val="2F5496" w:themeColor="accent1" w:themeShade="BF"/>
        </w:rPr>
      </w:pPr>
    </w:p>
    <w:p w:rsidR="00AF5CAD" w:rsidRDefault="00AF5CAD" w:rsidP="00E0751D">
      <w:pPr>
        <w:spacing w:after="0" w:line="240" w:lineRule="auto"/>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40 LDF</w:t>
      </w:r>
    </w:p>
    <w:p w:rsidR="00AF5CAD" w:rsidRDefault="00AF5CAD" w:rsidP="0012031E">
      <w:pPr>
        <w:spacing w:after="0" w:line="240" w:lineRule="auto"/>
        <w:rPr>
          <w:i/>
        </w:rPr>
      </w:pPr>
      <w:bookmarkStart w:id="0" w:name="_GoBack"/>
      <w:bookmarkEnd w:id="0"/>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7370EC" w:rsidRDefault="007370EC" w:rsidP="0012031E">
      <w:pPr>
        <w:spacing w:after="0" w:line="240" w:lineRule="auto"/>
      </w:pPr>
    </w:p>
    <w:p w:rsidR="00BE59BF" w:rsidRDefault="00BE59BF" w:rsidP="0012031E">
      <w:pPr>
        <w:spacing w:after="0" w:line="240" w:lineRule="auto"/>
      </w:pPr>
    </w:p>
    <w:p w:rsidR="00BE59BF" w:rsidRDefault="00BE59BF" w:rsidP="0012031E">
      <w:pPr>
        <w:spacing w:after="0" w:line="240" w:lineRule="auto"/>
      </w:pPr>
    </w:p>
    <w:p w:rsidR="00BE59BF" w:rsidRPr="007370EC" w:rsidRDefault="00BE59BF" w:rsidP="0012031E">
      <w:pPr>
        <w:spacing w:after="0" w:line="240" w:lineRule="auto"/>
      </w:pPr>
    </w:p>
    <w:sectPr w:rsidR="00BE59BF" w:rsidRPr="007370EC" w:rsidSect="00E0751D">
      <w:headerReference w:type="default" r:id="rId18"/>
      <w:footerReference w:type="default" r:id="rId1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C11DD7" w:rsidRPr="00C11DD7">
          <w:rPr>
            <w:noProof/>
            <w:lang w:val="es-ES"/>
          </w:rPr>
          <w:t>1</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1E" w:rsidRDefault="00E34ACA" w:rsidP="0012031E">
    <w:pPr>
      <w:pStyle w:val="Encabezado"/>
      <w:jc w:val="center"/>
    </w:pPr>
    <w:r>
      <w:t xml:space="preserve">Municipio de San </w:t>
    </w:r>
    <w:r w:rsidR="00AA606F">
      <w:t>Felipe G</w:t>
    </w:r>
    <w:r w:rsidR="00C11DD7">
      <w:t>uanajua</w:t>
    </w:r>
    <w:r w:rsidR="00AA606F">
      <w:t>to</w:t>
    </w:r>
    <w:r w:rsidR="00C11DD7">
      <w:t>.</w:t>
    </w:r>
  </w:p>
  <w:p w:rsidR="0012031E" w:rsidRDefault="00AA606F" w:rsidP="0012031E">
    <w:pPr>
      <w:pStyle w:val="Encabezado"/>
      <w:jc w:val="center"/>
    </w:pPr>
    <w:r>
      <w:t xml:space="preserve">CORRESPONDIENTES A </w:t>
    </w:r>
    <w:r w:rsidR="00842150">
      <w:t>ENERO</w:t>
    </w:r>
    <w:r w:rsidR="0038249E">
      <w:t xml:space="preserve"> - </w:t>
    </w:r>
    <w:r w:rsidR="00477C8F">
      <w:t>DICIEMBRE</w:t>
    </w:r>
    <w:r>
      <w:t xml:space="preserve"> DEL 201</w:t>
    </w:r>
    <w:r w:rsidR="00842150">
      <w:t>9</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751D"/>
    <w:rsid w:val="00097180"/>
    <w:rsid w:val="0012031E"/>
    <w:rsid w:val="00131043"/>
    <w:rsid w:val="00195754"/>
    <w:rsid w:val="002B0FE0"/>
    <w:rsid w:val="0030764C"/>
    <w:rsid w:val="0038249E"/>
    <w:rsid w:val="00474D51"/>
    <w:rsid w:val="00477C8F"/>
    <w:rsid w:val="00483349"/>
    <w:rsid w:val="004C23EA"/>
    <w:rsid w:val="005B4237"/>
    <w:rsid w:val="00622EB9"/>
    <w:rsid w:val="006C3A31"/>
    <w:rsid w:val="00702C8B"/>
    <w:rsid w:val="007370EC"/>
    <w:rsid w:val="00756E01"/>
    <w:rsid w:val="00796C25"/>
    <w:rsid w:val="00811FDB"/>
    <w:rsid w:val="00842150"/>
    <w:rsid w:val="008F0136"/>
    <w:rsid w:val="00940570"/>
    <w:rsid w:val="009D09C4"/>
    <w:rsid w:val="00A827B2"/>
    <w:rsid w:val="00A84C91"/>
    <w:rsid w:val="00AA606F"/>
    <w:rsid w:val="00AF5CAD"/>
    <w:rsid w:val="00BC2018"/>
    <w:rsid w:val="00BE3C27"/>
    <w:rsid w:val="00BE59BF"/>
    <w:rsid w:val="00C11DD7"/>
    <w:rsid w:val="00D17403"/>
    <w:rsid w:val="00DC58C8"/>
    <w:rsid w:val="00E0751D"/>
    <w:rsid w:val="00E34ACA"/>
    <w:rsid w:val="00EA40C1"/>
    <w:rsid w:val="00ED602D"/>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0EF89DE"/>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 w:type="paragraph" w:styleId="NormalWeb">
    <w:name w:val="Normal (Web)"/>
    <w:basedOn w:val="Normal"/>
    <w:uiPriority w:val="99"/>
    <w:semiHidden/>
    <w:unhideWhenUsed/>
    <w:rsid w:val="00BE59BF"/>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309680308">
      <w:bodyDiv w:val="1"/>
      <w:marLeft w:val="0"/>
      <w:marRight w:val="0"/>
      <w:marTop w:val="0"/>
      <w:marBottom w:val="0"/>
      <w:divBdr>
        <w:top w:val="none" w:sz="0" w:space="0" w:color="auto"/>
        <w:left w:val="none" w:sz="0" w:space="0" w:color="auto"/>
        <w:bottom w:val="none" w:sz="0" w:space="0" w:color="auto"/>
        <w:right w:val="none" w:sz="0" w:space="0" w:color="auto"/>
      </w:divBdr>
    </w:div>
    <w:div w:id="359280895">
      <w:bodyDiv w:val="1"/>
      <w:marLeft w:val="0"/>
      <w:marRight w:val="0"/>
      <w:marTop w:val="0"/>
      <w:marBottom w:val="0"/>
      <w:divBdr>
        <w:top w:val="none" w:sz="0" w:space="0" w:color="auto"/>
        <w:left w:val="none" w:sz="0" w:space="0" w:color="auto"/>
        <w:bottom w:val="none" w:sz="0" w:space="0" w:color="auto"/>
        <w:right w:val="none" w:sz="0" w:space="0" w:color="auto"/>
      </w:divBdr>
    </w:div>
    <w:div w:id="485629418">
      <w:bodyDiv w:val="1"/>
      <w:marLeft w:val="0"/>
      <w:marRight w:val="0"/>
      <w:marTop w:val="0"/>
      <w:marBottom w:val="0"/>
      <w:divBdr>
        <w:top w:val="none" w:sz="0" w:space="0" w:color="auto"/>
        <w:left w:val="none" w:sz="0" w:space="0" w:color="auto"/>
        <w:bottom w:val="none" w:sz="0" w:space="0" w:color="auto"/>
        <w:right w:val="none" w:sz="0" w:space="0" w:color="auto"/>
      </w:divBdr>
    </w:div>
    <w:div w:id="490023615">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825513425">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2.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677</Words>
  <Characters>3728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25</cp:revision>
  <cp:lastPrinted>2018-04-19T00:02:00Z</cp:lastPrinted>
  <dcterms:created xsi:type="dcterms:W3CDTF">2018-03-20T04:02:00Z</dcterms:created>
  <dcterms:modified xsi:type="dcterms:W3CDTF">2020-02-04T18:38:00Z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